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Mehr als Babylon Berlin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Was lehrt uns die Republik von Weimar heute?</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Dienstag, 28. April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Quelle:Kraufmann_sbth</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Haben wir wieder „Weimarer Verhältnisse“? Und vor allem: Was lernen wir heute von der Republik von Weimar?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erste deutsche Demokratie der Jahre 1919 bis 1933 ist uns eigentümlich nahe gerückt: Als aufregendes Medienspektakel eines „Babylon Berlin“, als faszinierendes Laboratorium der Moderne, als Menetekel unserer Gegenwart. Wie ein Brennglas bündelt die Weimarer Republik die Widersprüche der modernen Welt. Haben wir wieder „Weimarer Verhältnisse“? Und vor allem: Was lernen wir heute von der Republik von Weimar?</w:t>
      </w:r>
    </w:p>
    <w:p>
      <w:pPr/>
      <w:r>
        <w:rPr/>
        <w:t xml:space="preserve">Auf Grundlage der zeitgeschichtlichen Forschung sucht der Vortrag Antworten auf diese Fragen.</w:t>
      </w:r>
    </w:p>
    <w:p>
      <w:pPr/>
      <w:r>
        <w:rPr>
          <w:b w:val="1"/>
          <w:bCs w:val="1"/>
        </w:rPr>
        <w:t xml:space="preserve">Referent: Dr. Thomas Hertfelder, Historiker</w:t>
      </w:r>
    </w:p>
    <w:p>
      <w:pPr/>
      <w:r>
        <w:rPr>
          <w:i w:val="1"/>
          <w:iCs w:val="1"/>
        </w:rPr>
        <w:t xml:space="preserve">In Kooperation mit der VHS Tübingen.</w:t>
      </w:r>
    </w:p>
    <w:p/>
    <w:p/>
    <w:p>
      <w:pPr/>
      <w:r>
        <w:rPr>
          <w:b w:val="1"/>
          <w:bCs w:val="1"/>
        </w:rPr>
        <w:t xml:space="preserve">Keine Anmeldung erforderlich.</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Dienstag, 28. April 2026, 19:00 Uhr - 21:00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r>
        <w:rPr>
          <w:b/>
        </w:rPr>
        <w:t>Dr. Thomas Hertfelder</w:t>
      </w:r>
      <w:r>
        <w:t/>
        <w:br/>
        <w:t>Historiker</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 - Leiterin LpB-Außenstelle Tübingen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Regina Friedrich,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VHS Tübingen</w:t>
        <w:br/>
        <w:t>Katharinenstrasse 18</w:t>
        <w:br/>
        <w:t>72072 Tübingen</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54/18-26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4cm;height:1.1635836053682cm" stroked="f" filled="f">
                  <v:imagedata r:id="rId17"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VHS Tübingen</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Mehr als Babylon Berlin [54/18-26]</dc:title>
  <dc:subject>Haben wir wieder „Weimarer Verhältnisse“? Und vor allem: Was lernen wir heute von der Republik von Weimar?</dc:subject>
  <dc:creator>Anja Meitner - Leiterin LpB-Außenstelle Tübingen
 - Landeszentrale für politische Bildung</dc:creator>
  <cp:keywords>54/18-26 - Mehr als Babylon Berlin, 28.04.2026</cp:keywords>
  <dc:description/>
  <cp:lastModifiedBy>Christoph Runkel</cp:lastModifiedBy>
  <cp:revision>11</cp:revision>
  <dcterms:created xsi:type="dcterms:W3CDTF">2026-03-05T08:44:00Z</dcterms:created>
  <dcterms:modified xsi:type="dcterms:W3CDTF">2026-03-12T11:17:00Z</dcterms:modified>
</cp:coreProperties>
</file>